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14" w:rsidRDefault="004A68E6" w:rsidP="008C3914">
      <w:pPr>
        <w:pStyle w:val="Paragraphestandard"/>
        <w:suppressAutoHyphens/>
        <w:spacing w:line="240" w:lineRule="auto"/>
        <w:jc w:val="center"/>
        <w:rPr>
          <w:rFonts w:ascii="Candara" w:hAnsi="Candara" w:cs="Century Gothic"/>
        </w:rPr>
      </w:pPr>
      <w:r>
        <w:rPr>
          <w:noProof/>
          <w:lang w:eastAsia="fr-FR"/>
        </w:rPr>
        <w:drawing>
          <wp:anchor distT="0" distB="0" distL="114300" distR="114300" simplePos="0" relativeHeight="251658240" behindDoc="0" locked="0" layoutInCell="1" allowOverlap="1">
            <wp:simplePos x="0" y="0"/>
            <wp:positionH relativeFrom="column">
              <wp:posOffset>1938655</wp:posOffset>
            </wp:positionH>
            <wp:positionV relativeFrom="page">
              <wp:posOffset>333375</wp:posOffset>
            </wp:positionV>
            <wp:extent cx="1800860" cy="938530"/>
            <wp:effectExtent l="0" t="0" r="889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ib-toul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860" cy="938530"/>
                    </a:xfrm>
                    <a:prstGeom prst="rect">
                      <a:avLst/>
                    </a:prstGeom>
                  </pic:spPr>
                </pic:pic>
              </a:graphicData>
            </a:graphic>
          </wp:anchor>
        </w:drawing>
      </w:r>
      <w:r w:rsidR="008C3914">
        <w:rPr>
          <w:rFonts w:ascii="Candara" w:hAnsi="Candara"/>
          <w:noProof/>
        </w:rPr>
        <w:t xml:space="preserve">               </w:t>
      </w:r>
    </w:p>
    <w:p w:rsidR="004A68E6" w:rsidRDefault="004A68E6" w:rsidP="001E42D2">
      <w:pPr>
        <w:pStyle w:val="Paragraphestandard"/>
        <w:suppressAutoHyphens/>
        <w:spacing w:line="240" w:lineRule="auto"/>
        <w:jc w:val="right"/>
        <w:rPr>
          <w:rFonts w:ascii="Candara" w:hAnsi="Candara" w:cs="Century Gothic"/>
          <w:sz w:val="20"/>
          <w:szCs w:val="20"/>
        </w:rPr>
      </w:pPr>
    </w:p>
    <w:p w:rsidR="004A68E6" w:rsidRDefault="004A68E6" w:rsidP="001E42D2">
      <w:pPr>
        <w:pStyle w:val="Paragraphestandard"/>
        <w:suppressAutoHyphens/>
        <w:spacing w:line="240" w:lineRule="auto"/>
        <w:jc w:val="right"/>
        <w:rPr>
          <w:rFonts w:ascii="Candara" w:hAnsi="Candara" w:cs="Century Gothic"/>
          <w:sz w:val="20"/>
          <w:szCs w:val="20"/>
        </w:rPr>
      </w:pPr>
    </w:p>
    <w:p w:rsidR="001E42D2" w:rsidRPr="001E42D2" w:rsidRDefault="008758A1" w:rsidP="001E42D2">
      <w:pPr>
        <w:pStyle w:val="Paragraphestandard"/>
        <w:suppressAutoHyphens/>
        <w:spacing w:line="240" w:lineRule="auto"/>
        <w:jc w:val="right"/>
        <w:rPr>
          <w:rFonts w:ascii="Candara" w:hAnsi="Candara" w:cs="Century Gothic"/>
        </w:rPr>
      </w:pPr>
      <w:r>
        <w:rPr>
          <w:rFonts w:ascii="Candara" w:hAnsi="Candara" w:cs="Century Gothic"/>
          <w:sz w:val="20"/>
          <w:szCs w:val="20"/>
        </w:rPr>
        <w:t>Toulon, le 14 septembre 2020</w:t>
      </w:r>
    </w:p>
    <w:p w:rsidR="001E42D2" w:rsidRPr="001E42D2" w:rsidRDefault="001E42D2" w:rsidP="001E42D2">
      <w:pPr>
        <w:jc w:val="both"/>
        <w:rPr>
          <w:rFonts w:ascii="Candara" w:hAnsi="Candara"/>
        </w:rPr>
      </w:pPr>
    </w:p>
    <w:p w:rsidR="001E42D2" w:rsidRPr="001E42D2" w:rsidRDefault="001E42D2" w:rsidP="001E42D2">
      <w:pPr>
        <w:jc w:val="center"/>
        <w:rPr>
          <w:rFonts w:ascii="Candara" w:hAnsi="Candara"/>
          <w:b/>
          <w:color w:val="808080"/>
          <w:sz w:val="28"/>
          <w:szCs w:val="28"/>
        </w:rPr>
      </w:pPr>
      <w:r w:rsidRPr="001E42D2">
        <w:rPr>
          <w:rFonts w:ascii="Candara" w:hAnsi="Candara"/>
          <w:b/>
          <w:color w:val="808080"/>
          <w:sz w:val="28"/>
          <w:szCs w:val="28"/>
        </w:rPr>
        <w:t>COMMUNIQUÉ DE PRESSE</w:t>
      </w:r>
    </w:p>
    <w:p w:rsidR="001E42D2" w:rsidRPr="001E42D2" w:rsidRDefault="001E42D2" w:rsidP="001E42D2">
      <w:pPr>
        <w:rPr>
          <w:rFonts w:ascii="Candara" w:hAnsi="Candara"/>
          <w:b/>
          <w:bCs/>
          <w:sz w:val="28"/>
          <w:szCs w:val="28"/>
        </w:rPr>
      </w:pPr>
    </w:p>
    <w:p w:rsidR="007D08E1" w:rsidRDefault="007D08E1" w:rsidP="001E42D2">
      <w:pPr>
        <w:jc w:val="center"/>
        <w:rPr>
          <w:rFonts w:ascii="Candara" w:eastAsia="Times New Roman" w:hAnsi="Candara" w:cs="Arial"/>
          <w:color w:val="2670BA"/>
          <w:sz w:val="28"/>
          <w:szCs w:val="28"/>
          <w:lang w:eastAsia="fr-FR"/>
        </w:rPr>
      </w:pPr>
      <w:r>
        <w:rPr>
          <w:rFonts w:ascii="Candara" w:eastAsia="Times New Roman" w:hAnsi="Candara" w:cs="Arial"/>
          <w:color w:val="2670BA"/>
          <w:sz w:val="28"/>
          <w:szCs w:val="28"/>
          <w:lang w:eastAsia="fr-FR"/>
        </w:rPr>
        <w:t xml:space="preserve">Médiation, crise sanitaire, transition numérique : </w:t>
      </w:r>
    </w:p>
    <w:p w:rsidR="001E42D2" w:rsidRPr="001E42D2" w:rsidRDefault="007D08E1" w:rsidP="001E42D2">
      <w:pPr>
        <w:jc w:val="center"/>
        <w:rPr>
          <w:rFonts w:ascii="Candara" w:eastAsia="Times New Roman" w:hAnsi="Candara" w:cs="Arial"/>
          <w:color w:val="2670BA"/>
          <w:sz w:val="28"/>
          <w:szCs w:val="28"/>
          <w:lang w:eastAsia="fr-FR"/>
        </w:rPr>
      </w:pPr>
      <w:proofErr w:type="gramStart"/>
      <w:r>
        <w:rPr>
          <w:rFonts w:ascii="Candara" w:eastAsia="Times New Roman" w:hAnsi="Candara" w:cs="Arial"/>
          <w:color w:val="2670BA"/>
          <w:sz w:val="28"/>
          <w:szCs w:val="28"/>
          <w:lang w:eastAsia="fr-FR"/>
        </w:rPr>
        <w:t>le</w:t>
      </w:r>
      <w:proofErr w:type="gramEnd"/>
      <w:r>
        <w:rPr>
          <w:rFonts w:ascii="Candara" w:eastAsia="Times New Roman" w:hAnsi="Candara" w:cs="Arial"/>
          <w:color w:val="2670BA"/>
          <w:sz w:val="28"/>
          <w:szCs w:val="28"/>
          <w:lang w:eastAsia="fr-FR"/>
        </w:rPr>
        <w:t xml:space="preserve"> tribunal administratif de Toulon dresse son bilan de l’année</w:t>
      </w:r>
    </w:p>
    <w:p w:rsidR="001E42D2" w:rsidRPr="001E42D2" w:rsidRDefault="001E42D2" w:rsidP="001E42D2">
      <w:pPr>
        <w:pStyle w:val="NormalWeb"/>
        <w:spacing w:before="0" w:beforeAutospacing="0" w:after="0" w:afterAutospacing="0"/>
        <w:jc w:val="both"/>
        <w:rPr>
          <w:rFonts w:ascii="Candara" w:hAnsi="Candara"/>
          <w:color w:val="000000"/>
          <w:sz w:val="22"/>
          <w:szCs w:val="22"/>
        </w:rPr>
      </w:pPr>
      <w:r w:rsidRPr="001E42D2">
        <w:rPr>
          <w:rFonts w:ascii="Candara" w:hAnsi="Candara"/>
          <w:color w:val="000000"/>
          <w:sz w:val="22"/>
          <w:szCs w:val="22"/>
        </w:rPr>
        <w:t> </w:t>
      </w:r>
    </w:p>
    <w:p w:rsidR="001E42D2" w:rsidRDefault="007D08E1" w:rsidP="001E42D2">
      <w:pPr>
        <w:pStyle w:val="NormalWeb"/>
        <w:spacing w:before="0" w:beforeAutospacing="0" w:after="0" w:afterAutospacing="0"/>
        <w:jc w:val="both"/>
        <w:rPr>
          <w:rFonts w:ascii="Candara" w:hAnsi="Candara"/>
          <w:color w:val="000000"/>
          <w:sz w:val="22"/>
          <w:szCs w:val="22"/>
        </w:rPr>
      </w:pPr>
      <w:r>
        <w:rPr>
          <w:rFonts w:ascii="Candara" w:hAnsi="Candara"/>
          <w:b/>
          <w:bCs/>
          <w:color w:val="000000"/>
          <w:sz w:val="22"/>
          <w:szCs w:val="22"/>
        </w:rPr>
        <w:t>À</w:t>
      </w:r>
      <w:r w:rsidR="005211C6">
        <w:rPr>
          <w:rFonts w:ascii="Candara" w:hAnsi="Candara"/>
          <w:b/>
          <w:bCs/>
          <w:color w:val="000000"/>
          <w:sz w:val="22"/>
          <w:szCs w:val="22"/>
        </w:rPr>
        <w:t xml:space="preserve"> l’occasion du déplacement du vice-président du Conseil d’Etat à Toulon</w:t>
      </w:r>
      <w:r w:rsidR="008C3914">
        <w:rPr>
          <w:rFonts w:ascii="Candara" w:hAnsi="Candara"/>
          <w:b/>
          <w:bCs/>
          <w:color w:val="000000"/>
          <w:sz w:val="22"/>
          <w:szCs w:val="22"/>
        </w:rPr>
        <w:t xml:space="preserve"> le 14 septembre</w:t>
      </w:r>
      <w:r w:rsidR="005211C6">
        <w:rPr>
          <w:rFonts w:ascii="Candara" w:hAnsi="Candara"/>
          <w:b/>
          <w:bCs/>
          <w:color w:val="000000"/>
          <w:sz w:val="22"/>
          <w:szCs w:val="22"/>
        </w:rPr>
        <w:t xml:space="preserve">, le tribunal administratif </w:t>
      </w:r>
      <w:r>
        <w:rPr>
          <w:rFonts w:ascii="Candara" w:hAnsi="Candara"/>
          <w:b/>
          <w:bCs/>
          <w:color w:val="000000"/>
          <w:sz w:val="22"/>
          <w:szCs w:val="22"/>
        </w:rPr>
        <w:t xml:space="preserve">de Toulon dresse </w:t>
      </w:r>
      <w:r w:rsidR="002223AB">
        <w:rPr>
          <w:rFonts w:ascii="Candara" w:hAnsi="Candara"/>
          <w:b/>
          <w:bCs/>
          <w:color w:val="000000"/>
          <w:sz w:val="22"/>
          <w:szCs w:val="22"/>
        </w:rPr>
        <w:t>le bilan de l’année écoulée et revient sur les chantiers de modernisation de la justice administrative pour faciliter l’accès au juge et la défense des droits du citoyen.</w:t>
      </w:r>
    </w:p>
    <w:p w:rsidR="0056444C" w:rsidRDefault="0056444C" w:rsidP="001E42D2">
      <w:pPr>
        <w:pStyle w:val="NormalWeb"/>
        <w:spacing w:before="0" w:beforeAutospacing="0" w:after="0" w:afterAutospacing="0"/>
        <w:jc w:val="both"/>
        <w:rPr>
          <w:rFonts w:ascii="Candara" w:hAnsi="Candara"/>
          <w:color w:val="000000"/>
          <w:sz w:val="22"/>
          <w:szCs w:val="22"/>
        </w:rPr>
      </w:pPr>
    </w:p>
    <w:p w:rsidR="001427A8" w:rsidRDefault="001427A8" w:rsidP="001E42D2">
      <w:pPr>
        <w:pStyle w:val="NormalWeb"/>
        <w:spacing w:before="0" w:beforeAutospacing="0" w:after="0" w:afterAutospacing="0"/>
        <w:jc w:val="both"/>
        <w:rPr>
          <w:rFonts w:ascii="Candara" w:hAnsi="Candara"/>
          <w:color w:val="000000"/>
          <w:sz w:val="22"/>
          <w:szCs w:val="22"/>
        </w:rPr>
      </w:pPr>
      <w:r w:rsidRPr="001427A8">
        <w:rPr>
          <w:rFonts w:ascii="Candara" w:hAnsi="Candara"/>
          <w:color w:val="000000"/>
          <w:sz w:val="22"/>
          <w:szCs w:val="22"/>
        </w:rPr>
        <w:t>L’année 2019 a été marquée par une hausse importante du nombre d’affaires enregistrées par le tribunal, notamment en raison de l’augmentation des demandes d’indemnisation pour exposition à l’amiante dans les chantiers navals.</w:t>
      </w:r>
      <w:r>
        <w:rPr>
          <w:rFonts w:ascii="Candara" w:hAnsi="Candara"/>
          <w:color w:val="000000"/>
          <w:sz w:val="22"/>
          <w:szCs w:val="22"/>
        </w:rPr>
        <w:t xml:space="preserve"> Le tribunal administratif a</w:t>
      </w:r>
      <w:r w:rsidR="003E4A98">
        <w:rPr>
          <w:rFonts w:ascii="Candara" w:hAnsi="Candara"/>
          <w:color w:val="000000"/>
          <w:sz w:val="22"/>
          <w:szCs w:val="22"/>
        </w:rPr>
        <w:t xml:space="preserve"> ainsi</w:t>
      </w:r>
      <w:r>
        <w:rPr>
          <w:rFonts w:ascii="Candara" w:hAnsi="Candara"/>
          <w:color w:val="000000"/>
          <w:sz w:val="22"/>
          <w:szCs w:val="22"/>
        </w:rPr>
        <w:t xml:space="preserve"> enregistré 4 462 affaires en 2019 (</w:t>
      </w:r>
      <w:r w:rsidR="003E4A98">
        <w:rPr>
          <w:rFonts w:ascii="Candara" w:hAnsi="Candara"/>
          <w:color w:val="000000"/>
          <w:sz w:val="22"/>
          <w:szCs w:val="22"/>
        </w:rPr>
        <w:t xml:space="preserve">+ 2,3 % par rapport à 2018) et en a jugé 4 257 (+ 3,8 %). </w:t>
      </w:r>
    </w:p>
    <w:p w:rsidR="003E4A98" w:rsidRDefault="003E4A98" w:rsidP="001E42D2">
      <w:pPr>
        <w:pStyle w:val="NormalWeb"/>
        <w:spacing w:before="0" w:beforeAutospacing="0" w:after="0" w:afterAutospacing="0"/>
        <w:jc w:val="both"/>
        <w:rPr>
          <w:rFonts w:ascii="Candara" w:hAnsi="Candara"/>
          <w:color w:val="000000"/>
          <w:sz w:val="22"/>
          <w:szCs w:val="22"/>
        </w:rPr>
      </w:pPr>
    </w:p>
    <w:p w:rsidR="004A68E6" w:rsidRPr="004A68E6" w:rsidRDefault="009C3D8A" w:rsidP="004A68E6">
      <w:pPr>
        <w:pStyle w:val="NormalWeb"/>
        <w:spacing w:before="0" w:beforeAutospacing="0" w:after="0" w:afterAutospacing="0"/>
        <w:jc w:val="both"/>
        <w:rPr>
          <w:rFonts w:ascii="Candara" w:hAnsi="Candara"/>
          <w:color w:val="000000"/>
          <w:sz w:val="22"/>
          <w:szCs w:val="22"/>
        </w:rPr>
      </w:pPr>
      <w:r>
        <w:rPr>
          <w:rFonts w:ascii="Candara" w:hAnsi="Candara"/>
          <w:color w:val="000000"/>
          <w:sz w:val="22"/>
          <w:szCs w:val="22"/>
        </w:rPr>
        <w:t xml:space="preserve">Le tribunal a également été sollicité pendant la crise sanitaire, avec 16 affaires traitées en lien avec la pandémie. Ces affaires concernaient notamment des recours déposés contre des arrêtés municipaux qui restreignaient davantage les mesures prises pendant le confinement. </w:t>
      </w:r>
      <w:r w:rsidR="004A68E6">
        <w:rPr>
          <w:rFonts w:ascii="Candara" w:hAnsi="Candara"/>
          <w:color w:val="000000"/>
          <w:sz w:val="22"/>
          <w:szCs w:val="22"/>
        </w:rPr>
        <w:t xml:space="preserve">La crise sanitaire a eu pour autre conséquence d’augmenter l’utilisation de </w:t>
      </w:r>
      <w:proofErr w:type="spellStart"/>
      <w:r w:rsidR="004A68E6">
        <w:rPr>
          <w:rFonts w:ascii="Candara" w:hAnsi="Candara"/>
          <w:color w:val="000000"/>
          <w:sz w:val="22"/>
          <w:szCs w:val="22"/>
        </w:rPr>
        <w:t>Télérecours</w:t>
      </w:r>
      <w:proofErr w:type="spellEnd"/>
      <w:r w:rsidR="004A68E6">
        <w:rPr>
          <w:rFonts w:ascii="Candara" w:hAnsi="Candara"/>
          <w:color w:val="000000"/>
          <w:sz w:val="22"/>
          <w:szCs w:val="22"/>
        </w:rPr>
        <w:t xml:space="preserve"> citoyens, application qui permet à toute personne de déposer son recours devant le tribunal en un clic. </w:t>
      </w:r>
      <w:r>
        <w:rPr>
          <w:rFonts w:ascii="Candara" w:hAnsi="Candara"/>
          <w:color w:val="000000"/>
          <w:sz w:val="22"/>
          <w:szCs w:val="22"/>
        </w:rPr>
        <w:t xml:space="preserve"> </w:t>
      </w:r>
      <w:r w:rsidR="004A68E6" w:rsidRPr="004A68E6">
        <w:rPr>
          <w:rFonts w:ascii="Candara" w:hAnsi="Candara"/>
          <w:color w:val="000000"/>
          <w:sz w:val="22"/>
          <w:szCs w:val="22"/>
        </w:rPr>
        <w:t xml:space="preserve">Sur les 7 premiers mois de l’année 2020, le taux d’utilisation volontaire de </w:t>
      </w:r>
      <w:r w:rsidR="004A68E6">
        <w:rPr>
          <w:rFonts w:ascii="Candara" w:hAnsi="Candara"/>
          <w:color w:val="000000"/>
          <w:sz w:val="22"/>
          <w:szCs w:val="22"/>
        </w:rPr>
        <w:t>l’application avoisine les 25 </w:t>
      </w:r>
      <w:r w:rsidR="004A68E6" w:rsidRPr="004A68E6">
        <w:rPr>
          <w:rFonts w:ascii="Candara" w:hAnsi="Candara"/>
          <w:color w:val="000000"/>
          <w:sz w:val="22"/>
          <w:szCs w:val="22"/>
        </w:rPr>
        <w:t>%.</w:t>
      </w:r>
    </w:p>
    <w:p w:rsidR="006F4F3B" w:rsidRDefault="006F4F3B" w:rsidP="003C56EF">
      <w:pPr>
        <w:pStyle w:val="NormalWeb"/>
        <w:spacing w:before="0" w:beforeAutospacing="0" w:after="0" w:afterAutospacing="0"/>
        <w:jc w:val="both"/>
        <w:rPr>
          <w:rFonts w:ascii="Candara" w:hAnsi="Candara"/>
          <w:color w:val="000000"/>
          <w:sz w:val="22"/>
          <w:szCs w:val="22"/>
        </w:rPr>
      </w:pPr>
    </w:p>
    <w:p w:rsidR="00CE7D98" w:rsidRDefault="00CE7D98" w:rsidP="003C56EF">
      <w:pPr>
        <w:pStyle w:val="NormalWeb"/>
        <w:spacing w:before="0" w:beforeAutospacing="0" w:after="0" w:afterAutospacing="0"/>
        <w:jc w:val="both"/>
        <w:rPr>
          <w:rFonts w:ascii="Candara" w:hAnsi="Candara"/>
          <w:b/>
          <w:color w:val="000000"/>
          <w:sz w:val="22"/>
          <w:szCs w:val="22"/>
        </w:rPr>
      </w:pPr>
      <w:r>
        <w:rPr>
          <w:rFonts w:ascii="Candara" w:hAnsi="Candara"/>
          <w:b/>
          <w:color w:val="000000"/>
          <w:sz w:val="22"/>
          <w:szCs w:val="22"/>
        </w:rPr>
        <w:t>Signature d’une convention de médiation avec le barreau de Draguignan</w:t>
      </w:r>
    </w:p>
    <w:p w:rsidR="00CE7D98" w:rsidRDefault="00CE7D98" w:rsidP="003C56EF">
      <w:pPr>
        <w:pStyle w:val="NormalWeb"/>
        <w:spacing w:before="0" w:beforeAutospacing="0" w:after="0" w:afterAutospacing="0"/>
        <w:jc w:val="both"/>
        <w:rPr>
          <w:rFonts w:ascii="Candara" w:hAnsi="Candara"/>
          <w:b/>
          <w:color w:val="000000"/>
          <w:sz w:val="22"/>
          <w:szCs w:val="22"/>
        </w:rPr>
      </w:pPr>
    </w:p>
    <w:p w:rsidR="006F4F3B" w:rsidRDefault="004A68E6" w:rsidP="003C56EF">
      <w:pPr>
        <w:pStyle w:val="NormalWeb"/>
        <w:spacing w:before="0" w:beforeAutospacing="0" w:after="0" w:afterAutospacing="0"/>
        <w:jc w:val="both"/>
        <w:rPr>
          <w:rFonts w:ascii="Candara" w:hAnsi="Candara"/>
          <w:color w:val="000000"/>
          <w:sz w:val="22"/>
          <w:szCs w:val="22"/>
        </w:rPr>
      </w:pPr>
      <w:r w:rsidRPr="00CE7D98">
        <w:rPr>
          <w:rFonts w:ascii="Candara" w:hAnsi="Candara"/>
          <w:color w:val="000000"/>
          <w:sz w:val="22"/>
          <w:szCs w:val="22"/>
        </w:rPr>
        <w:t>Le déplacement de Bruno Lasserre à Toulon est aussi l’occasion pour</w:t>
      </w:r>
      <w:r w:rsidR="003D524D" w:rsidRPr="00CE7D98">
        <w:rPr>
          <w:rFonts w:ascii="Candara" w:hAnsi="Candara"/>
          <w:color w:val="000000"/>
          <w:sz w:val="22"/>
          <w:szCs w:val="22"/>
        </w:rPr>
        <w:t xml:space="preserve"> le tribunal administratif et le barreau de Draguignan </w:t>
      </w:r>
      <w:r w:rsidRPr="00CE7D98">
        <w:rPr>
          <w:rFonts w:ascii="Candara" w:hAnsi="Candara"/>
          <w:color w:val="000000"/>
          <w:sz w:val="22"/>
          <w:szCs w:val="22"/>
        </w:rPr>
        <w:t>de signer</w:t>
      </w:r>
      <w:r w:rsidR="003D524D" w:rsidRPr="00CE7D98">
        <w:rPr>
          <w:rFonts w:ascii="Candara" w:hAnsi="Candara"/>
          <w:color w:val="000000"/>
          <w:sz w:val="22"/>
          <w:szCs w:val="22"/>
        </w:rPr>
        <w:t xml:space="preserve"> une convention pour promouvoir la </w:t>
      </w:r>
      <w:r w:rsidR="001427A8" w:rsidRPr="00CE7D98">
        <w:rPr>
          <w:rFonts w:ascii="Candara" w:hAnsi="Candara"/>
          <w:color w:val="000000"/>
          <w:sz w:val="22"/>
          <w:szCs w:val="22"/>
        </w:rPr>
        <w:t xml:space="preserve">médiation dans les contentieux locaux. </w:t>
      </w:r>
      <w:r w:rsidR="003D524D" w:rsidRPr="00CE7D98">
        <w:rPr>
          <w:rFonts w:ascii="Candara" w:hAnsi="Candara"/>
          <w:color w:val="000000"/>
          <w:sz w:val="22"/>
          <w:szCs w:val="22"/>
        </w:rPr>
        <w:t>Cette</w:t>
      </w:r>
      <w:r w:rsidR="003D524D">
        <w:rPr>
          <w:rFonts w:ascii="Candara" w:hAnsi="Candara"/>
          <w:color w:val="000000"/>
          <w:sz w:val="22"/>
          <w:szCs w:val="22"/>
        </w:rPr>
        <w:t xml:space="preserve"> signature est le fruit de la volonté partagée du tribunal et du barreau de diffuser la culture de la médiation en remplacement de la saisine systématique du juge.</w:t>
      </w:r>
      <w:r w:rsidR="001427A8">
        <w:rPr>
          <w:rFonts w:ascii="Candara" w:hAnsi="Candara"/>
          <w:color w:val="000000"/>
          <w:sz w:val="22"/>
          <w:szCs w:val="22"/>
        </w:rPr>
        <w:t xml:space="preserve"> Cette convention fait suite à celle signée entre le tribunal administratif et le barreau de Toulon le 19 décembre 2018. </w:t>
      </w:r>
    </w:p>
    <w:p w:rsidR="003C56EF" w:rsidRDefault="003C56EF" w:rsidP="00CD522E">
      <w:pPr>
        <w:pStyle w:val="NormalWeb"/>
        <w:spacing w:before="0" w:beforeAutospacing="0" w:after="0" w:afterAutospacing="0"/>
        <w:jc w:val="both"/>
        <w:rPr>
          <w:rFonts w:ascii="Candara" w:hAnsi="Candara"/>
          <w:color w:val="000000"/>
          <w:sz w:val="22"/>
          <w:szCs w:val="22"/>
        </w:rPr>
      </w:pPr>
    </w:p>
    <w:p w:rsidR="00CD522E" w:rsidRDefault="00CD522E" w:rsidP="00CD522E">
      <w:pPr>
        <w:pStyle w:val="NormalWeb"/>
        <w:spacing w:before="0" w:beforeAutospacing="0" w:after="0" w:afterAutospacing="0"/>
        <w:jc w:val="both"/>
        <w:rPr>
          <w:rFonts w:ascii="Candara" w:hAnsi="Candara"/>
          <w:color w:val="000000"/>
          <w:sz w:val="22"/>
          <w:szCs w:val="22"/>
        </w:rPr>
      </w:pPr>
      <w:r>
        <w:rPr>
          <w:rFonts w:ascii="Candara" w:hAnsi="Candara"/>
          <w:color w:val="000000"/>
          <w:sz w:val="22"/>
          <w:szCs w:val="22"/>
        </w:rPr>
        <w:t>Mis</w:t>
      </w:r>
      <w:r w:rsidR="00092967">
        <w:rPr>
          <w:rFonts w:ascii="Candara" w:hAnsi="Candara"/>
          <w:color w:val="000000"/>
          <w:sz w:val="22"/>
          <w:szCs w:val="22"/>
        </w:rPr>
        <w:t>e</w:t>
      </w:r>
      <w:r w:rsidR="005211C6">
        <w:rPr>
          <w:rFonts w:ascii="Candara" w:hAnsi="Candara"/>
          <w:color w:val="000000"/>
          <w:sz w:val="22"/>
          <w:szCs w:val="22"/>
        </w:rPr>
        <w:t xml:space="preserve"> en place dans le cadre de la loi de 2016 sur la justice du XXI</w:t>
      </w:r>
      <w:r w:rsidR="005211C6" w:rsidRPr="005211C6">
        <w:rPr>
          <w:rFonts w:ascii="Candara" w:hAnsi="Candara"/>
          <w:color w:val="000000"/>
          <w:sz w:val="22"/>
          <w:szCs w:val="22"/>
          <w:vertAlign w:val="superscript"/>
        </w:rPr>
        <w:t>e</w:t>
      </w:r>
      <w:r w:rsidR="005211C6">
        <w:rPr>
          <w:rFonts w:ascii="Candara" w:hAnsi="Candara"/>
          <w:color w:val="000000"/>
          <w:sz w:val="22"/>
          <w:szCs w:val="22"/>
        </w:rPr>
        <w:t xml:space="preserve"> siècle, la médiation permet aux </w:t>
      </w:r>
      <w:r w:rsidR="00AC0728">
        <w:rPr>
          <w:rFonts w:ascii="Candara" w:hAnsi="Candara"/>
          <w:color w:val="000000"/>
          <w:sz w:val="22"/>
          <w:szCs w:val="22"/>
        </w:rPr>
        <w:t xml:space="preserve">citoyens </w:t>
      </w:r>
      <w:r w:rsidR="005211C6">
        <w:rPr>
          <w:rFonts w:ascii="Candara" w:hAnsi="Candara"/>
          <w:color w:val="000000"/>
          <w:sz w:val="22"/>
          <w:szCs w:val="22"/>
        </w:rPr>
        <w:t xml:space="preserve">d’éviter le recours au juge en faisant appel à un médiateur indépendant et impartial. </w:t>
      </w:r>
      <w:r w:rsidR="00AC0728">
        <w:rPr>
          <w:rFonts w:ascii="Candara" w:hAnsi="Candara"/>
          <w:color w:val="000000"/>
          <w:sz w:val="22"/>
          <w:szCs w:val="22"/>
        </w:rPr>
        <w:t>Elle</w:t>
      </w:r>
      <w:r>
        <w:rPr>
          <w:rFonts w:ascii="Candara" w:hAnsi="Candara"/>
          <w:color w:val="000000"/>
          <w:sz w:val="22"/>
          <w:szCs w:val="22"/>
        </w:rPr>
        <w:t xml:space="preserve"> permet ainsi de régler les litiges de manière plus rapide, moins c</w:t>
      </w:r>
      <w:r w:rsidR="00AC0728">
        <w:rPr>
          <w:rFonts w:ascii="Candara" w:hAnsi="Candara"/>
          <w:color w:val="000000"/>
          <w:sz w:val="22"/>
          <w:szCs w:val="22"/>
        </w:rPr>
        <w:t>onflictuelle et moins coûteuse, ce qui en fait une</w:t>
      </w:r>
      <w:r>
        <w:rPr>
          <w:rFonts w:ascii="Candara" w:hAnsi="Candara"/>
          <w:color w:val="000000"/>
          <w:sz w:val="22"/>
          <w:szCs w:val="22"/>
        </w:rPr>
        <w:t xml:space="preserve"> alternative à la saisine du juge.</w:t>
      </w:r>
      <w:r w:rsidR="00AC0728">
        <w:rPr>
          <w:rFonts w:ascii="Candara" w:hAnsi="Candara"/>
          <w:color w:val="000000"/>
          <w:sz w:val="22"/>
          <w:szCs w:val="22"/>
        </w:rPr>
        <w:t xml:space="preserve"> </w:t>
      </w:r>
    </w:p>
    <w:p w:rsidR="00AC0728" w:rsidRDefault="00AC0728" w:rsidP="00CD522E">
      <w:pPr>
        <w:pStyle w:val="NormalWeb"/>
        <w:spacing w:before="0" w:beforeAutospacing="0" w:after="0" w:afterAutospacing="0"/>
        <w:jc w:val="both"/>
        <w:rPr>
          <w:rFonts w:ascii="Candara" w:hAnsi="Candara"/>
          <w:color w:val="000000"/>
          <w:sz w:val="22"/>
          <w:szCs w:val="22"/>
        </w:rPr>
      </w:pPr>
    </w:p>
    <w:tbl>
      <w:tblPr>
        <w:tblStyle w:val="Grilledutableau"/>
        <w:tblW w:w="0" w:type="auto"/>
        <w:tblLook w:val="04A0" w:firstRow="1" w:lastRow="0" w:firstColumn="1" w:lastColumn="0" w:noHBand="0" w:noVBand="1"/>
      </w:tblPr>
      <w:tblGrid>
        <w:gridCol w:w="9056"/>
      </w:tblGrid>
      <w:tr w:rsidR="00AC0728" w:rsidTr="00AC0728">
        <w:tc>
          <w:tcPr>
            <w:tcW w:w="9056" w:type="dxa"/>
          </w:tcPr>
          <w:p w:rsidR="00AC0728" w:rsidRDefault="00AC0728" w:rsidP="00AC0728">
            <w:pPr>
              <w:pStyle w:val="NormalWeb"/>
              <w:spacing w:before="0" w:beforeAutospacing="0" w:after="0" w:afterAutospacing="0"/>
              <w:jc w:val="center"/>
              <w:rPr>
                <w:rFonts w:ascii="Candara" w:hAnsi="Candara"/>
                <w:b/>
                <w:color w:val="000000"/>
                <w:sz w:val="22"/>
                <w:szCs w:val="22"/>
              </w:rPr>
            </w:pPr>
            <w:r w:rsidRPr="00AC0728">
              <w:rPr>
                <w:rFonts w:ascii="Candara" w:hAnsi="Candara"/>
                <w:b/>
                <w:color w:val="000000"/>
                <w:sz w:val="22"/>
                <w:szCs w:val="22"/>
              </w:rPr>
              <w:t>Le tribunal administratif de Toulon en quelques chiffres</w:t>
            </w:r>
            <w:r>
              <w:rPr>
                <w:rFonts w:ascii="Candara" w:hAnsi="Candara"/>
                <w:b/>
                <w:color w:val="000000"/>
                <w:sz w:val="22"/>
                <w:szCs w:val="22"/>
              </w:rPr>
              <w:t> </w:t>
            </w:r>
            <w:r w:rsidR="00783D3F">
              <w:rPr>
                <w:rFonts w:ascii="Candara" w:hAnsi="Candara"/>
                <w:b/>
                <w:color w:val="000000"/>
                <w:sz w:val="22"/>
                <w:szCs w:val="22"/>
              </w:rPr>
              <w:t>(au 31 décembre 2019) :</w:t>
            </w:r>
          </w:p>
          <w:p w:rsidR="00783D3F" w:rsidRDefault="00783D3F" w:rsidP="00AC0728">
            <w:pPr>
              <w:pStyle w:val="NormalWeb"/>
              <w:spacing w:before="0" w:beforeAutospacing="0" w:after="0" w:afterAutospacing="0"/>
              <w:jc w:val="center"/>
              <w:rPr>
                <w:rFonts w:ascii="Candara" w:hAnsi="Candara"/>
                <w:b/>
                <w:color w:val="000000"/>
                <w:sz w:val="22"/>
                <w:szCs w:val="22"/>
              </w:rPr>
            </w:pPr>
          </w:p>
          <w:p w:rsidR="00783D3F" w:rsidRPr="00783D3F" w:rsidRDefault="00783D3F" w:rsidP="00783D3F">
            <w:pPr>
              <w:pStyle w:val="NormalWeb"/>
              <w:numPr>
                <w:ilvl w:val="0"/>
                <w:numId w:val="2"/>
              </w:numPr>
              <w:spacing w:before="0" w:beforeAutospacing="0" w:after="0" w:afterAutospacing="0"/>
              <w:rPr>
                <w:rFonts w:ascii="Candara" w:hAnsi="Candara"/>
                <w:color w:val="000000"/>
                <w:sz w:val="22"/>
                <w:szCs w:val="22"/>
              </w:rPr>
            </w:pPr>
            <w:r w:rsidRPr="00783D3F">
              <w:rPr>
                <w:rFonts w:ascii="Candara" w:hAnsi="Candara"/>
                <w:color w:val="000000"/>
                <w:sz w:val="22"/>
                <w:szCs w:val="22"/>
              </w:rPr>
              <w:t>4 462 affaires enregistrées</w:t>
            </w:r>
            <w:r w:rsidR="003E4A98">
              <w:rPr>
                <w:rFonts w:ascii="Candara" w:hAnsi="Candara"/>
                <w:color w:val="000000"/>
                <w:sz w:val="22"/>
                <w:szCs w:val="22"/>
              </w:rPr>
              <w:t xml:space="preserve"> (contre 3 972 en 2018)</w:t>
            </w:r>
          </w:p>
          <w:p w:rsidR="00783D3F" w:rsidRPr="00783D3F" w:rsidRDefault="00783D3F" w:rsidP="00783D3F">
            <w:pPr>
              <w:pStyle w:val="NormalWeb"/>
              <w:numPr>
                <w:ilvl w:val="0"/>
                <w:numId w:val="2"/>
              </w:numPr>
              <w:spacing w:before="0" w:beforeAutospacing="0" w:after="0" w:afterAutospacing="0"/>
              <w:rPr>
                <w:rFonts w:ascii="Candara" w:hAnsi="Candara"/>
                <w:color w:val="000000"/>
                <w:sz w:val="22"/>
                <w:szCs w:val="22"/>
              </w:rPr>
            </w:pPr>
            <w:r w:rsidRPr="00783D3F">
              <w:rPr>
                <w:rFonts w:ascii="Candara" w:hAnsi="Candara"/>
                <w:color w:val="000000"/>
                <w:sz w:val="22"/>
                <w:szCs w:val="22"/>
              </w:rPr>
              <w:t>4 257 affaires jugées</w:t>
            </w:r>
            <w:r w:rsidR="003E4A98">
              <w:rPr>
                <w:rFonts w:ascii="Candara" w:hAnsi="Candara"/>
                <w:color w:val="000000"/>
                <w:sz w:val="22"/>
                <w:szCs w:val="22"/>
              </w:rPr>
              <w:t xml:space="preserve"> (contre 4 103 en 2018)</w:t>
            </w:r>
          </w:p>
          <w:p w:rsidR="00783D3F" w:rsidRDefault="00783D3F" w:rsidP="00783D3F">
            <w:pPr>
              <w:pStyle w:val="NormalWeb"/>
              <w:numPr>
                <w:ilvl w:val="0"/>
                <w:numId w:val="2"/>
              </w:numPr>
              <w:spacing w:before="0" w:beforeAutospacing="0" w:after="0" w:afterAutospacing="0"/>
              <w:rPr>
                <w:rFonts w:ascii="Candara" w:hAnsi="Candara"/>
                <w:color w:val="000000"/>
                <w:sz w:val="22"/>
                <w:szCs w:val="22"/>
              </w:rPr>
            </w:pPr>
            <w:r w:rsidRPr="00783D3F">
              <w:rPr>
                <w:rFonts w:ascii="Candara" w:hAnsi="Candara"/>
                <w:color w:val="000000"/>
                <w:sz w:val="22"/>
                <w:szCs w:val="22"/>
              </w:rPr>
              <w:t>Délai moyen de jugement : 1 an 4 mois et 15 jours</w:t>
            </w:r>
          </w:p>
          <w:p w:rsidR="00AC0728" w:rsidRPr="004A68E6" w:rsidRDefault="00783D3F" w:rsidP="00AC0728">
            <w:pPr>
              <w:pStyle w:val="NormalWeb"/>
              <w:numPr>
                <w:ilvl w:val="0"/>
                <w:numId w:val="2"/>
              </w:numPr>
              <w:spacing w:before="0" w:beforeAutospacing="0" w:after="0" w:afterAutospacing="0"/>
              <w:rPr>
                <w:rFonts w:ascii="Candara" w:hAnsi="Candara"/>
                <w:color w:val="000000"/>
                <w:sz w:val="22"/>
                <w:szCs w:val="22"/>
              </w:rPr>
            </w:pPr>
            <w:r>
              <w:rPr>
                <w:rFonts w:ascii="Candara" w:hAnsi="Candara"/>
                <w:color w:val="000000"/>
                <w:sz w:val="22"/>
                <w:szCs w:val="22"/>
              </w:rPr>
              <w:t>73 % des requêtes enregistrées de manière dématérialisée</w:t>
            </w:r>
          </w:p>
        </w:tc>
      </w:tr>
    </w:tbl>
    <w:p w:rsidR="00AC0728" w:rsidRPr="001E42D2" w:rsidRDefault="00AC0728" w:rsidP="0056444C">
      <w:pPr>
        <w:pStyle w:val="NormalWeb"/>
        <w:spacing w:before="0" w:beforeAutospacing="0" w:after="0" w:afterAutospacing="0"/>
        <w:jc w:val="both"/>
        <w:rPr>
          <w:rFonts w:ascii="Candara" w:hAnsi="Candara"/>
          <w:color w:val="000000"/>
          <w:sz w:val="22"/>
          <w:szCs w:val="22"/>
        </w:rPr>
      </w:pPr>
    </w:p>
    <w:p w:rsidR="008C3914" w:rsidRDefault="001E42D2" w:rsidP="008C3914">
      <w:pPr>
        <w:pStyle w:val="NormalWeb"/>
        <w:spacing w:before="0" w:beforeAutospacing="0" w:after="0" w:afterAutospacing="0"/>
        <w:rPr>
          <w:rFonts w:ascii="Candara" w:hAnsi="Candara"/>
          <w:b/>
          <w:bCs/>
          <w:sz w:val="22"/>
          <w:szCs w:val="22"/>
        </w:rPr>
      </w:pPr>
      <w:r w:rsidRPr="001E42D2">
        <w:rPr>
          <w:rFonts w:ascii="Candara" w:hAnsi="Candara"/>
          <w:b/>
          <w:bCs/>
          <w:sz w:val="22"/>
          <w:szCs w:val="22"/>
        </w:rPr>
        <w:t>Contacts presse</w:t>
      </w:r>
      <w:r w:rsidR="008C3914">
        <w:rPr>
          <w:rFonts w:ascii="Candara" w:hAnsi="Candara"/>
          <w:b/>
          <w:bCs/>
          <w:sz w:val="22"/>
          <w:szCs w:val="22"/>
        </w:rPr>
        <w:t xml:space="preserve"> </w:t>
      </w:r>
    </w:p>
    <w:p w:rsidR="001E42D2" w:rsidRPr="001E42D2" w:rsidRDefault="008C3914" w:rsidP="008C3914">
      <w:pPr>
        <w:pStyle w:val="NormalWeb"/>
        <w:numPr>
          <w:ilvl w:val="0"/>
          <w:numId w:val="2"/>
        </w:numPr>
        <w:spacing w:before="0" w:beforeAutospacing="0" w:after="0" w:afterAutospacing="0"/>
        <w:rPr>
          <w:rFonts w:ascii="Candara" w:hAnsi="Candara"/>
        </w:rPr>
      </w:pPr>
      <w:r>
        <w:rPr>
          <w:rFonts w:ascii="Candara" w:hAnsi="Candara"/>
          <w:b/>
          <w:bCs/>
          <w:sz w:val="22"/>
          <w:szCs w:val="22"/>
        </w:rPr>
        <w:t>Conseil d’Etat</w:t>
      </w:r>
    </w:p>
    <w:p w:rsidR="001E42D2" w:rsidRPr="001E42D2" w:rsidRDefault="001E42D2" w:rsidP="008C3914">
      <w:pPr>
        <w:pStyle w:val="NormalWeb"/>
        <w:spacing w:before="0" w:beforeAutospacing="0" w:after="0" w:afterAutospacing="0"/>
        <w:rPr>
          <w:rFonts w:ascii="Candara" w:hAnsi="Candara"/>
          <w:color w:val="0000FF"/>
          <w:sz w:val="22"/>
          <w:szCs w:val="22"/>
        </w:rPr>
      </w:pPr>
      <w:r w:rsidRPr="001E42D2">
        <w:rPr>
          <w:rFonts w:ascii="Candara" w:hAnsi="Candara"/>
          <w:sz w:val="22"/>
          <w:szCs w:val="22"/>
        </w:rPr>
        <w:t xml:space="preserve">Xabi </w:t>
      </w:r>
      <w:proofErr w:type="spellStart"/>
      <w:r w:rsidRPr="001E42D2">
        <w:rPr>
          <w:rFonts w:ascii="Candara" w:hAnsi="Candara"/>
          <w:sz w:val="22"/>
          <w:szCs w:val="22"/>
        </w:rPr>
        <w:t>Velazquez</w:t>
      </w:r>
      <w:proofErr w:type="spellEnd"/>
      <w:r w:rsidRPr="001E42D2">
        <w:rPr>
          <w:rFonts w:ascii="Candara" w:hAnsi="Candara"/>
          <w:sz w:val="22"/>
          <w:szCs w:val="22"/>
        </w:rPr>
        <w:t xml:space="preserve"> – tel. 01 72 60 58 34 – </w:t>
      </w:r>
      <w:hyperlink r:id="rId9" w:history="1">
        <w:r w:rsidRPr="001E42D2">
          <w:rPr>
            <w:rStyle w:val="Lienhypertexte"/>
            <w:rFonts w:ascii="Candara" w:hAnsi="Candara"/>
            <w:sz w:val="22"/>
            <w:szCs w:val="22"/>
          </w:rPr>
          <w:t>xabi.velazquez@conseil-etat.fr</w:t>
        </w:r>
      </w:hyperlink>
    </w:p>
    <w:p w:rsidR="001E42D2" w:rsidRDefault="001E42D2" w:rsidP="003E4A98">
      <w:pPr>
        <w:pStyle w:val="NormalWeb"/>
        <w:spacing w:before="0" w:beforeAutospacing="0" w:after="0" w:afterAutospacing="0"/>
        <w:rPr>
          <w:rStyle w:val="Lienhypertexte"/>
          <w:rFonts w:ascii="Candara" w:hAnsi="Candara"/>
          <w:sz w:val="22"/>
          <w:szCs w:val="22"/>
        </w:rPr>
      </w:pPr>
      <w:r w:rsidRPr="001E42D2">
        <w:rPr>
          <w:rFonts w:ascii="Candara" w:hAnsi="Candara"/>
          <w:sz w:val="22"/>
          <w:szCs w:val="22"/>
        </w:rPr>
        <w:lastRenderedPageBreak/>
        <w:t xml:space="preserve">Paul </w:t>
      </w:r>
      <w:proofErr w:type="spellStart"/>
      <w:r w:rsidRPr="001E42D2">
        <w:rPr>
          <w:rFonts w:ascii="Candara" w:hAnsi="Candara"/>
          <w:sz w:val="22"/>
          <w:szCs w:val="22"/>
        </w:rPr>
        <w:t>Parikhah</w:t>
      </w:r>
      <w:proofErr w:type="spellEnd"/>
      <w:r w:rsidRPr="001E42D2">
        <w:rPr>
          <w:rFonts w:ascii="Candara" w:hAnsi="Candara"/>
          <w:sz w:val="22"/>
          <w:szCs w:val="22"/>
        </w:rPr>
        <w:t xml:space="preserve"> – tel. 01 72 60 58 31 – </w:t>
      </w:r>
      <w:hyperlink r:id="rId10" w:history="1">
        <w:r w:rsidRPr="001E42D2">
          <w:rPr>
            <w:rStyle w:val="Lienhypertexte"/>
            <w:rFonts w:ascii="Candara" w:hAnsi="Candara"/>
            <w:sz w:val="22"/>
            <w:szCs w:val="22"/>
          </w:rPr>
          <w:t>paul.parikhah@conseil-etat.fr</w:t>
        </w:r>
      </w:hyperlink>
    </w:p>
    <w:p w:rsidR="009C3D8A" w:rsidRPr="003E4A98" w:rsidRDefault="009C3D8A" w:rsidP="003E4A98">
      <w:pPr>
        <w:pStyle w:val="NormalWeb"/>
        <w:spacing w:before="0" w:beforeAutospacing="0" w:after="0" w:afterAutospacing="0"/>
        <w:rPr>
          <w:rFonts w:ascii="Candara" w:hAnsi="Candara"/>
        </w:rPr>
      </w:pPr>
    </w:p>
    <w:p w:rsidR="001E42D2" w:rsidRPr="009C3D8A" w:rsidRDefault="009C3D8A" w:rsidP="009C3D8A">
      <w:pPr>
        <w:pStyle w:val="NormalWeb"/>
        <w:numPr>
          <w:ilvl w:val="0"/>
          <w:numId w:val="2"/>
        </w:numPr>
        <w:spacing w:before="0" w:beforeAutospacing="0" w:after="0" w:afterAutospacing="0"/>
        <w:rPr>
          <w:rFonts w:ascii="Candara" w:hAnsi="Candara"/>
          <w:b/>
          <w:bCs/>
          <w:sz w:val="22"/>
          <w:szCs w:val="22"/>
        </w:rPr>
      </w:pPr>
      <w:r w:rsidRPr="009C3D8A">
        <w:rPr>
          <w:rFonts w:ascii="Candara" w:hAnsi="Candara"/>
          <w:b/>
          <w:bCs/>
          <w:sz w:val="22"/>
          <w:szCs w:val="22"/>
        </w:rPr>
        <w:t xml:space="preserve">Tribunal administratif de Toulon </w:t>
      </w:r>
    </w:p>
    <w:p w:rsidR="009C3D8A" w:rsidRPr="00092967" w:rsidRDefault="00092967" w:rsidP="00092967">
      <w:pPr>
        <w:pStyle w:val="NormalWeb"/>
        <w:spacing w:before="0" w:beforeAutospacing="0" w:after="0" w:afterAutospacing="0"/>
        <w:rPr>
          <w:rFonts w:ascii="Candara" w:hAnsi="Candara"/>
          <w:sz w:val="22"/>
          <w:szCs w:val="22"/>
        </w:rPr>
      </w:pPr>
      <w:r w:rsidRPr="00092967">
        <w:rPr>
          <w:rFonts w:ascii="Candara" w:hAnsi="Candara"/>
          <w:sz w:val="22"/>
          <w:szCs w:val="22"/>
        </w:rPr>
        <w:t xml:space="preserve">Sylvie </w:t>
      </w:r>
      <w:proofErr w:type="spellStart"/>
      <w:r w:rsidRPr="00092967">
        <w:rPr>
          <w:rFonts w:ascii="Candara" w:hAnsi="Candara"/>
          <w:sz w:val="22"/>
          <w:szCs w:val="22"/>
        </w:rPr>
        <w:t>Delcroix</w:t>
      </w:r>
      <w:proofErr w:type="spellEnd"/>
      <w:r w:rsidR="009C3D8A" w:rsidRPr="00092967">
        <w:rPr>
          <w:rFonts w:ascii="Candara" w:hAnsi="Candara"/>
          <w:sz w:val="22"/>
          <w:szCs w:val="22"/>
        </w:rPr>
        <w:t xml:space="preserve"> </w:t>
      </w:r>
      <w:r w:rsidRPr="00092967">
        <w:rPr>
          <w:rFonts w:ascii="Candara" w:hAnsi="Candara"/>
          <w:sz w:val="22"/>
          <w:szCs w:val="22"/>
        </w:rPr>
        <w:t>–</w:t>
      </w:r>
      <w:r w:rsidR="009C3D8A" w:rsidRPr="00092967">
        <w:rPr>
          <w:rFonts w:ascii="Candara" w:hAnsi="Candara"/>
          <w:sz w:val="22"/>
          <w:szCs w:val="22"/>
        </w:rPr>
        <w:t xml:space="preserve"> </w:t>
      </w:r>
      <w:r w:rsidRPr="00092967">
        <w:rPr>
          <w:rFonts w:ascii="Candara" w:hAnsi="Candara"/>
          <w:sz w:val="22"/>
          <w:szCs w:val="22"/>
        </w:rPr>
        <w:t>tel. 04 94 42 79 81</w:t>
      </w:r>
      <w:r w:rsidR="0034660E">
        <w:rPr>
          <w:rFonts w:ascii="Candara" w:hAnsi="Candara"/>
          <w:sz w:val="22"/>
          <w:szCs w:val="22"/>
        </w:rPr>
        <w:t xml:space="preserve"> - </w:t>
      </w:r>
      <w:bookmarkStart w:id="0" w:name="_GoBack"/>
      <w:bookmarkEnd w:id="0"/>
      <w:r w:rsidR="0034660E">
        <w:rPr>
          <w:rFonts w:ascii="Candara" w:hAnsi="Candara"/>
          <w:sz w:val="22"/>
          <w:szCs w:val="22"/>
        </w:rPr>
        <w:fldChar w:fldCharType="begin"/>
      </w:r>
      <w:r w:rsidR="0034660E">
        <w:rPr>
          <w:rFonts w:ascii="Candara" w:hAnsi="Candara"/>
          <w:sz w:val="22"/>
          <w:szCs w:val="22"/>
        </w:rPr>
        <w:instrText xml:space="preserve"> HYPERLINK "mailto:</w:instrText>
      </w:r>
      <w:r w:rsidR="0034660E" w:rsidRPr="0034660E">
        <w:rPr>
          <w:rFonts w:ascii="Candara" w:hAnsi="Candara"/>
          <w:sz w:val="22"/>
          <w:szCs w:val="22"/>
        </w:rPr>
        <w:instrText>sylvie.delcroix@juradm.fr</w:instrText>
      </w:r>
      <w:r w:rsidR="0034660E">
        <w:rPr>
          <w:rFonts w:ascii="Candara" w:hAnsi="Candara"/>
          <w:sz w:val="22"/>
          <w:szCs w:val="22"/>
        </w:rPr>
        <w:instrText xml:space="preserve">" </w:instrText>
      </w:r>
      <w:r w:rsidR="0034660E">
        <w:rPr>
          <w:rFonts w:ascii="Candara" w:hAnsi="Candara"/>
          <w:sz w:val="22"/>
          <w:szCs w:val="22"/>
        </w:rPr>
        <w:fldChar w:fldCharType="separate"/>
      </w:r>
      <w:r w:rsidR="0034660E" w:rsidRPr="009528E6">
        <w:rPr>
          <w:rStyle w:val="Lienhypertexte"/>
          <w:rFonts w:ascii="Candara" w:hAnsi="Candara"/>
          <w:sz w:val="22"/>
          <w:szCs w:val="22"/>
        </w:rPr>
        <w:t>sylvie.delcroix@juradm.fr</w:t>
      </w:r>
      <w:r w:rsidR="0034660E">
        <w:rPr>
          <w:rFonts w:ascii="Candara" w:hAnsi="Candara"/>
          <w:sz w:val="22"/>
          <w:szCs w:val="22"/>
        </w:rPr>
        <w:fldChar w:fldCharType="end"/>
      </w:r>
      <w:r w:rsidR="0034660E">
        <w:rPr>
          <w:rFonts w:ascii="Candara" w:hAnsi="Candara"/>
          <w:sz w:val="22"/>
          <w:szCs w:val="22"/>
        </w:rPr>
        <w:t xml:space="preserve"> </w:t>
      </w:r>
    </w:p>
    <w:sectPr w:rsidR="009C3D8A" w:rsidRPr="00092967" w:rsidSect="008C3914">
      <w:headerReference w:type="default" r:id="rId11"/>
      <w:head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914" w:rsidRDefault="008C3914" w:rsidP="008C3914">
      <w:r>
        <w:separator/>
      </w:r>
    </w:p>
  </w:endnote>
  <w:endnote w:type="continuationSeparator" w:id="0">
    <w:p w:rsidR="008C3914" w:rsidRDefault="008C3914" w:rsidP="008C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914" w:rsidRDefault="008C3914" w:rsidP="008C3914">
      <w:r>
        <w:separator/>
      </w:r>
    </w:p>
  </w:footnote>
  <w:footnote w:type="continuationSeparator" w:id="0">
    <w:p w:rsidR="008C3914" w:rsidRDefault="008C3914" w:rsidP="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14" w:rsidRDefault="008C3914" w:rsidP="008C3914">
    <w:pPr>
      <w:pStyle w:val="En-tte"/>
      <w:tabs>
        <w:tab w:val="clear" w:pos="4536"/>
        <w:tab w:val="clear" w:pos="9072"/>
        <w:tab w:val="left" w:pos="6570"/>
      </w:tabs>
      <w:jc w:val="center"/>
    </w:pPr>
    <w:r>
      <w:rPr>
        <w:rFonts w:ascii="Candara" w:hAnsi="Candara"/>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14" w:rsidRDefault="008C3914" w:rsidP="008C3914">
    <w:pPr>
      <w:pStyle w:val="En-tte"/>
      <w:jc w:val="center"/>
    </w:pPr>
    <w:r>
      <w:rPr>
        <w:noProof/>
        <w:lang w:eastAsia="fr-FR"/>
      </w:rPr>
      <w:t xml:space="preserve"> </w:t>
    </w:r>
  </w:p>
  <w:p w:rsidR="008C3914" w:rsidRDefault="008C39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76C44"/>
    <w:multiLevelType w:val="hybridMultilevel"/>
    <w:tmpl w:val="FAC2A970"/>
    <w:lvl w:ilvl="0" w:tplc="A92ED38A">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974F45"/>
    <w:multiLevelType w:val="hybridMultilevel"/>
    <w:tmpl w:val="41D6FD4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D2"/>
    <w:rsid w:val="00092967"/>
    <w:rsid w:val="000B6273"/>
    <w:rsid w:val="001427A8"/>
    <w:rsid w:val="001E42D2"/>
    <w:rsid w:val="00221758"/>
    <w:rsid w:val="002223AB"/>
    <w:rsid w:val="0034660E"/>
    <w:rsid w:val="003C56EF"/>
    <w:rsid w:val="003D524D"/>
    <w:rsid w:val="003E4A98"/>
    <w:rsid w:val="004A514D"/>
    <w:rsid w:val="004A68E6"/>
    <w:rsid w:val="005211C6"/>
    <w:rsid w:val="0056444C"/>
    <w:rsid w:val="006F4F3B"/>
    <w:rsid w:val="00783D3F"/>
    <w:rsid w:val="007D08E1"/>
    <w:rsid w:val="008758A1"/>
    <w:rsid w:val="008C3914"/>
    <w:rsid w:val="00902D3A"/>
    <w:rsid w:val="00932061"/>
    <w:rsid w:val="0095790E"/>
    <w:rsid w:val="009C3D8A"/>
    <w:rsid w:val="00A27D3E"/>
    <w:rsid w:val="00A53162"/>
    <w:rsid w:val="00AC0728"/>
    <w:rsid w:val="00B37B31"/>
    <w:rsid w:val="00C73ADB"/>
    <w:rsid w:val="00CD522E"/>
    <w:rsid w:val="00CE7D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4BA76B"/>
  <w15:chartTrackingRefBased/>
  <w15:docId w15:val="{94A74A21-28B3-F540-9BA7-83DEB96B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E42D2"/>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1E42D2"/>
  </w:style>
  <w:style w:type="paragraph" w:customStyle="1" w:styleId="Paragraphestandard">
    <w:name w:val="[Paragraphe standard]"/>
    <w:basedOn w:val="Normal"/>
    <w:rsid w:val="001E42D2"/>
    <w:pPr>
      <w:autoSpaceDE w:val="0"/>
      <w:autoSpaceDN w:val="0"/>
      <w:adjustRightInd w:val="0"/>
      <w:spacing w:line="288" w:lineRule="auto"/>
      <w:textAlignment w:val="center"/>
    </w:pPr>
    <w:rPr>
      <w:rFonts w:ascii="Minion Pro" w:eastAsia="Calibri" w:hAnsi="Minion Pro" w:cs="Minion Pro"/>
      <w:color w:val="000000"/>
    </w:rPr>
  </w:style>
  <w:style w:type="character" w:styleId="Lienhypertexte">
    <w:name w:val="Hyperlink"/>
    <w:rsid w:val="001E42D2"/>
    <w:rPr>
      <w:color w:val="0000FF"/>
      <w:u w:val="single"/>
    </w:rPr>
  </w:style>
  <w:style w:type="paragraph" w:styleId="Textedebulles">
    <w:name w:val="Balloon Text"/>
    <w:basedOn w:val="Normal"/>
    <w:link w:val="TextedebullesCar"/>
    <w:uiPriority w:val="99"/>
    <w:semiHidden/>
    <w:unhideWhenUsed/>
    <w:rsid w:val="004A514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A514D"/>
    <w:rPr>
      <w:rFonts w:ascii="Times New Roman" w:hAnsi="Times New Roman" w:cs="Times New Roman"/>
      <w:sz w:val="18"/>
      <w:szCs w:val="18"/>
    </w:rPr>
  </w:style>
  <w:style w:type="table" w:styleId="Grilledutableau">
    <w:name w:val="Table Grid"/>
    <w:basedOn w:val="TableauNormal"/>
    <w:uiPriority w:val="39"/>
    <w:rsid w:val="00564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C3914"/>
    <w:pPr>
      <w:tabs>
        <w:tab w:val="center" w:pos="4536"/>
        <w:tab w:val="right" w:pos="9072"/>
      </w:tabs>
    </w:pPr>
  </w:style>
  <w:style w:type="character" w:customStyle="1" w:styleId="En-tteCar">
    <w:name w:val="En-tête Car"/>
    <w:basedOn w:val="Policepardfaut"/>
    <w:link w:val="En-tte"/>
    <w:uiPriority w:val="99"/>
    <w:rsid w:val="008C3914"/>
  </w:style>
  <w:style w:type="paragraph" w:styleId="Pieddepage">
    <w:name w:val="footer"/>
    <w:basedOn w:val="Normal"/>
    <w:link w:val="PieddepageCar"/>
    <w:uiPriority w:val="99"/>
    <w:unhideWhenUsed/>
    <w:rsid w:val="008C3914"/>
    <w:pPr>
      <w:tabs>
        <w:tab w:val="center" w:pos="4536"/>
        <w:tab w:val="right" w:pos="9072"/>
      </w:tabs>
    </w:pPr>
  </w:style>
  <w:style w:type="character" w:customStyle="1" w:styleId="PieddepageCar">
    <w:name w:val="Pied de page Car"/>
    <w:basedOn w:val="Policepardfaut"/>
    <w:link w:val="Pieddepage"/>
    <w:uiPriority w:val="99"/>
    <w:rsid w:val="008C3914"/>
  </w:style>
  <w:style w:type="paragraph" w:styleId="Paragraphedeliste">
    <w:name w:val="List Paragraph"/>
    <w:basedOn w:val="Normal"/>
    <w:uiPriority w:val="34"/>
    <w:qFormat/>
    <w:rsid w:val="009C3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3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ul.parikhah@conseil-etat.fr" TargetMode="External"/><Relationship Id="rId4" Type="http://schemas.openxmlformats.org/officeDocument/2006/relationships/settings" Target="settings.xml"/><Relationship Id="rId9" Type="http://schemas.openxmlformats.org/officeDocument/2006/relationships/hyperlink" Target="mailto:xabi.velazquez@conseil-etat.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8C36B-FFDC-4A81-9E04-E675E7E3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471</Words>
  <Characters>2594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PARIKHAH Paul</cp:lastModifiedBy>
  <cp:revision>12</cp:revision>
  <dcterms:created xsi:type="dcterms:W3CDTF">2020-05-18T16:09:00Z</dcterms:created>
  <dcterms:modified xsi:type="dcterms:W3CDTF">2020-09-10T10:35:00Z</dcterms:modified>
</cp:coreProperties>
</file>